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497D" w14:textId="77777777" w:rsidR="00ED09B7" w:rsidRDefault="00ED09B7" w:rsidP="00183C3D">
      <w:pPr>
        <w:jc w:val="center"/>
        <w:rPr>
          <w:b/>
        </w:rPr>
      </w:pPr>
      <w:r w:rsidRPr="00094EEF">
        <w:rPr>
          <w:b/>
          <w:noProof/>
        </w:rPr>
        <w:drawing>
          <wp:inline distT="0" distB="0" distL="0" distR="0" wp14:anchorId="3D269892" wp14:editId="0CB7DF07">
            <wp:extent cx="1590675" cy="1600200"/>
            <wp:effectExtent l="0" t="0" r="9525" b="0"/>
            <wp:docPr id="1" name="Picture 1" descr="C:\Users\Murat.Erdem\Downloads\68d8857d-6635-4eed-beb2-c2643541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t.Erdem\Downloads\68d8857d-6635-4eed-beb2-c26435416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1023" w14:textId="77777777" w:rsidR="00ED09B7" w:rsidRDefault="00ED09B7" w:rsidP="00183C3D">
      <w:pPr>
        <w:jc w:val="center"/>
        <w:rPr>
          <w:b/>
        </w:rPr>
      </w:pPr>
    </w:p>
    <w:p w14:paraId="5B7CCC61" w14:textId="54FABA9D" w:rsidR="00311B4F" w:rsidRDefault="00183C3D" w:rsidP="00183C3D">
      <w:pPr>
        <w:jc w:val="center"/>
        <w:rPr>
          <w:b/>
        </w:rPr>
      </w:pPr>
      <w:r>
        <w:rPr>
          <w:b/>
        </w:rPr>
        <w:t xml:space="preserve">BAŞKONSOLOSLUĞUMUZA İLETİLEN </w:t>
      </w:r>
      <w:r w:rsidR="0097480B">
        <w:rPr>
          <w:b/>
        </w:rPr>
        <w:t xml:space="preserve">ÇEVRİMİÇİ DOLANDIRICILIK VE </w:t>
      </w:r>
      <w:r>
        <w:rPr>
          <w:b/>
        </w:rPr>
        <w:t xml:space="preserve">KRİPTO PARA </w:t>
      </w:r>
      <w:r w:rsidR="00311B4F">
        <w:rPr>
          <w:b/>
        </w:rPr>
        <w:t>DOLANDIRICILI</w:t>
      </w:r>
      <w:r>
        <w:rPr>
          <w:b/>
        </w:rPr>
        <w:t xml:space="preserve">ĞI </w:t>
      </w:r>
      <w:r w:rsidR="00311B4F">
        <w:rPr>
          <w:b/>
        </w:rPr>
        <w:t>İHBAR</w:t>
      </w:r>
      <w:r>
        <w:rPr>
          <w:b/>
        </w:rPr>
        <w:t>LARI</w:t>
      </w:r>
      <w:r w:rsidR="00311B4F">
        <w:rPr>
          <w:b/>
        </w:rPr>
        <w:t xml:space="preserve"> HAKKINDA DUYURU</w:t>
      </w:r>
    </w:p>
    <w:p w14:paraId="5DB991E2" w14:textId="77777777" w:rsidR="00B472CB" w:rsidRPr="00311B4F" w:rsidRDefault="00B655AE" w:rsidP="00311B4F">
      <w:pPr>
        <w:jc w:val="center"/>
        <w:rPr>
          <w:b/>
        </w:rPr>
      </w:pPr>
      <w:r>
        <w:rPr>
          <w:b/>
        </w:rPr>
        <w:t>(</w:t>
      </w:r>
      <w:r w:rsidR="00183C3D">
        <w:rPr>
          <w:b/>
        </w:rPr>
        <w:t>2</w:t>
      </w:r>
      <w:r w:rsidR="00A36ED4">
        <w:rPr>
          <w:b/>
        </w:rPr>
        <w:t>2</w:t>
      </w:r>
      <w:r w:rsidR="00C548F3">
        <w:rPr>
          <w:b/>
        </w:rPr>
        <w:t xml:space="preserve"> </w:t>
      </w:r>
      <w:r w:rsidR="00A36ED4">
        <w:rPr>
          <w:b/>
        </w:rPr>
        <w:t xml:space="preserve">KASIM </w:t>
      </w:r>
      <w:r w:rsidR="00C548F3">
        <w:rPr>
          <w:b/>
        </w:rPr>
        <w:t>202</w:t>
      </w:r>
      <w:r w:rsidR="00A36ED4">
        <w:rPr>
          <w:b/>
        </w:rPr>
        <w:t>2</w:t>
      </w:r>
      <w:r w:rsidR="00311B4F">
        <w:rPr>
          <w:b/>
        </w:rPr>
        <w:t>)</w:t>
      </w:r>
    </w:p>
    <w:p w14:paraId="331E737A" w14:textId="77777777" w:rsidR="00311B4F" w:rsidRDefault="00311B4F"/>
    <w:p w14:paraId="3240EA22" w14:textId="5AAAC093" w:rsidR="00A36ED4" w:rsidRDefault="00311B4F" w:rsidP="0022513F">
      <w:pPr>
        <w:ind w:firstLine="708"/>
        <w:jc w:val="both"/>
        <w:rPr>
          <w:rFonts w:eastAsia="Times New Roman"/>
        </w:rPr>
      </w:pPr>
      <w:r>
        <w:t xml:space="preserve">Başkonsolosluğumuza </w:t>
      </w:r>
      <w:r w:rsidR="00183C3D">
        <w:t xml:space="preserve">son dönemde </w:t>
      </w:r>
      <w:r w:rsidR="00FC60EA">
        <w:t>iletilen</w:t>
      </w:r>
      <w:r>
        <w:t xml:space="preserve"> </w:t>
      </w:r>
      <w:r w:rsidR="00183C3D">
        <w:t>mesajlar</w:t>
      </w:r>
      <w:r w:rsidR="00FC60EA">
        <w:t xml:space="preserve">da bazı </w:t>
      </w:r>
      <w:r>
        <w:t>vatandaş</w:t>
      </w:r>
      <w:r w:rsidR="00FC60EA">
        <w:t>lar</w:t>
      </w:r>
      <w:r>
        <w:t>ımız</w:t>
      </w:r>
      <w:r w:rsidR="00944F3A">
        <w:t xml:space="preserve">, Hong Kong merkezli olduğu ileri sürülen </w:t>
      </w:r>
      <w:r w:rsidR="00036002">
        <w:t>“</w:t>
      </w:r>
      <w:r w:rsidR="00A36ED4">
        <w:t>kixtron.com</w:t>
      </w:r>
      <w:r w:rsidR="00036002">
        <w:t>”</w:t>
      </w:r>
      <w:r w:rsidR="00BC1B40">
        <w:t xml:space="preserve">, “epbitcoin.com”, “ring-forex.com” </w:t>
      </w:r>
      <w:proofErr w:type="spellStart"/>
      <w:proofErr w:type="gramStart"/>
      <w:r w:rsidR="00A36ED4">
        <w:t>vb.</w:t>
      </w:r>
      <w:r w:rsidR="00944F3A">
        <w:t>şirketler</w:t>
      </w:r>
      <w:proofErr w:type="spellEnd"/>
      <w:proofErr w:type="gramEnd"/>
      <w:r w:rsidR="00944F3A">
        <w:t xml:space="preserve"> aracılığıyla</w:t>
      </w:r>
      <w:r w:rsidR="00183C3D">
        <w:t xml:space="preserve"> kripto para </w:t>
      </w:r>
      <w:r>
        <w:rPr>
          <w:rFonts w:eastAsia="Times New Roman"/>
        </w:rPr>
        <w:t>y</w:t>
      </w:r>
      <w:r w:rsidR="00183C3D">
        <w:rPr>
          <w:rFonts w:eastAsia="Times New Roman"/>
        </w:rPr>
        <w:t>atırım işlemleri gerçekleştirdikleri</w:t>
      </w:r>
      <w:r w:rsidR="00944F3A">
        <w:rPr>
          <w:rFonts w:eastAsia="Times New Roman"/>
        </w:rPr>
        <w:t>ni</w:t>
      </w:r>
      <w:r w:rsidR="00FC60EA">
        <w:rPr>
          <w:rFonts w:eastAsia="Times New Roman"/>
        </w:rPr>
        <w:t xml:space="preserve"> ve</w:t>
      </w:r>
      <w:r>
        <w:rPr>
          <w:rFonts w:eastAsia="Times New Roman"/>
        </w:rPr>
        <w:t xml:space="preserve"> dolandırı</w:t>
      </w:r>
      <w:r w:rsidR="00183C3D">
        <w:rPr>
          <w:rFonts w:eastAsia="Times New Roman"/>
        </w:rPr>
        <w:t>cılığa maruz kaldıkları</w:t>
      </w:r>
      <w:r w:rsidR="00944F3A">
        <w:rPr>
          <w:rFonts w:eastAsia="Times New Roman"/>
        </w:rPr>
        <w:t>nı</w:t>
      </w:r>
      <w:r w:rsidR="00183C3D">
        <w:rPr>
          <w:rFonts w:eastAsia="Times New Roman"/>
        </w:rPr>
        <w:t xml:space="preserve"> bildirm</w:t>
      </w:r>
      <w:r w:rsidR="00944F3A">
        <w:rPr>
          <w:rFonts w:eastAsia="Times New Roman"/>
        </w:rPr>
        <w:t>ektedi</w:t>
      </w:r>
      <w:r w:rsidR="00183C3D">
        <w:rPr>
          <w:rFonts w:eastAsia="Times New Roman"/>
        </w:rPr>
        <w:t>r.</w:t>
      </w:r>
      <w:r w:rsidR="00944F3A">
        <w:rPr>
          <w:rFonts w:eastAsia="Times New Roman"/>
        </w:rPr>
        <w:t xml:space="preserve"> </w:t>
      </w:r>
    </w:p>
    <w:p w14:paraId="7F62F9E2" w14:textId="77777777" w:rsidR="00A36ED4" w:rsidRDefault="00A36ED4" w:rsidP="0022513F">
      <w:pPr>
        <w:ind w:firstLine="708"/>
        <w:jc w:val="both"/>
        <w:rPr>
          <w:rFonts w:eastAsia="Times New Roman"/>
        </w:rPr>
      </w:pPr>
    </w:p>
    <w:p w14:paraId="131943A6" w14:textId="77777777" w:rsidR="003C30F7" w:rsidRDefault="00183C3D" w:rsidP="0022513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Konu hakkında </w:t>
      </w:r>
      <w:r w:rsidR="00651B69">
        <w:rPr>
          <w:rFonts w:eastAsia="Times New Roman"/>
        </w:rPr>
        <w:t xml:space="preserve">Başkonsolosluğumuzca 23.3.2021 tarihinde yayınlanan duyuruda da belirtildiği üzere, </w:t>
      </w:r>
      <w:r w:rsidR="00FB0AE6">
        <w:rPr>
          <w:rFonts w:eastAsia="Times New Roman"/>
        </w:rPr>
        <w:t>Başkonsolosluğumuzca iletişime geçilen</w:t>
      </w:r>
      <w:r>
        <w:rPr>
          <w:rFonts w:eastAsia="Times New Roman"/>
        </w:rPr>
        <w:t xml:space="preserve"> Hong Kong Özel İdare Bölgesi (</w:t>
      </w:r>
      <w:r w:rsidR="00944F3A">
        <w:rPr>
          <w:rFonts w:eastAsia="Times New Roman"/>
        </w:rPr>
        <w:t>HK</w:t>
      </w:r>
      <w:r>
        <w:rPr>
          <w:rFonts w:eastAsia="Times New Roman"/>
        </w:rPr>
        <w:t xml:space="preserve">ÖİB) Finansal Hizmetler ve Hazine Bürosu’ndan aldığımız </w:t>
      </w:r>
      <w:r w:rsidR="00651B69">
        <w:rPr>
          <w:rFonts w:eastAsia="Times New Roman"/>
        </w:rPr>
        <w:t xml:space="preserve">yazılı </w:t>
      </w:r>
      <w:r>
        <w:rPr>
          <w:rFonts w:eastAsia="Times New Roman"/>
        </w:rPr>
        <w:t>yanıtta, kripto paralar</w:t>
      </w:r>
      <w:r w:rsidR="00944F3A">
        <w:rPr>
          <w:rFonts w:eastAsia="Times New Roman"/>
        </w:rPr>
        <w:t xml:space="preserve"> dahil </w:t>
      </w:r>
      <w:r>
        <w:rPr>
          <w:rFonts w:eastAsia="Times New Roman"/>
        </w:rPr>
        <w:t xml:space="preserve">sanal varlıkların </w:t>
      </w:r>
      <w:r w:rsidR="00944F3A">
        <w:rPr>
          <w:rFonts w:eastAsia="Times New Roman"/>
        </w:rPr>
        <w:t>(</w:t>
      </w:r>
      <w:proofErr w:type="spellStart"/>
      <w:r w:rsidR="00944F3A">
        <w:rPr>
          <w:rFonts w:eastAsia="Times New Roman"/>
        </w:rPr>
        <w:t>virtual</w:t>
      </w:r>
      <w:proofErr w:type="spellEnd"/>
      <w:r w:rsidR="00944F3A">
        <w:rPr>
          <w:rFonts w:eastAsia="Times New Roman"/>
        </w:rPr>
        <w:t xml:space="preserve"> </w:t>
      </w:r>
      <w:proofErr w:type="spellStart"/>
      <w:r w:rsidR="00944F3A">
        <w:rPr>
          <w:rFonts w:eastAsia="Times New Roman"/>
        </w:rPr>
        <w:t>assets</w:t>
      </w:r>
      <w:proofErr w:type="spellEnd"/>
      <w:r w:rsidR="00944F3A">
        <w:rPr>
          <w:rFonts w:eastAsia="Times New Roman"/>
        </w:rPr>
        <w:t>) Hong Kong’da yasal para birimi veya ödeme yöntemi olarak kabul edilmedikleri, HKÖİB Hükümeti ve mali düzenleme birimlerinin bu alandaki gelişmeleri yakından takip ettiği</w:t>
      </w:r>
      <w:r w:rsidR="00651B69">
        <w:rPr>
          <w:rFonts w:eastAsia="Times New Roman"/>
        </w:rPr>
        <w:t>,</w:t>
      </w:r>
      <w:r w:rsidR="00944F3A">
        <w:rPr>
          <w:rFonts w:eastAsia="Times New Roman"/>
        </w:rPr>
        <w:t xml:space="preserve"> gerekli ikazlarda bulundukları ve kamuoyunu spekülatif riskler dahil bu gibi faaliyetlerin olumsuz etkileri hakkında bilgilendirdikleri belirtilm</w:t>
      </w:r>
      <w:r w:rsidR="00651B69">
        <w:rPr>
          <w:rFonts w:eastAsia="Times New Roman"/>
        </w:rPr>
        <w:t>işt</w:t>
      </w:r>
      <w:r w:rsidR="00944F3A">
        <w:rPr>
          <w:rFonts w:eastAsia="Times New Roman"/>
        </w:rPr>
        <w:t>ir.</w:t>
      </w:r>
      <w:r w:rsidR="00A72B70">
        <w:rPr>
          <w:rFonts w:eastAsia="Times New Roman"/>
        </w:rPr>
        <w:t xml:space="preserve"> </w:t>
      </w:r>
    </w:p>
    <w:p w14:paraId="4B44E430" w14:textId="77777777" w:rsidR="003C30F7" w:rsidRDefault="003C30F7" w:rsidP="0022513F">
      <w:pPr>
        <w:ind w:firstLine="708"/>
        <w:jc w:val="both"/>
        <w:rPr>
          <w:rFonts w:eastAsia="Times New Roman"/>
        </w:rPr>
      </w:pPr>
    </w:p>
    <w:p w14:paraId="2CF2D7B6" w14:textId="347E978F" w:rsidR="0022513F" w:rsidRDefault="0022513F" w:rsidP="004E13E1">
      <w:pPr>
        <w:rPr>
          <w:rFonts w:eastAsia="Times New Roman"/>
        </w:rPr>
      </w:pPr>
      <w:r>
        <w:rPr>
          <w:rFonts w:eastAsia="Times New Roman"/>
        </w:rPr>
        <w:t xml:space="preserve">Yazıda yalnızca Hisse Senetleri ve Vadeli İşlemler piyasası </w:t>
      </w:r>
      <w:r w:rsidR="00205F21">
        <w:rPr>
          <w:rFonts w:eastAsia="Times New Roman"/>
        </w:rPr>
        <w:t>mevzuat</w:t>
      </w:r>
      <w:r>
        <w:rPr>
          <w:rFonts w:eastAsia="Times New Roman"/>
        </w:rPr>
        <w:t>ına uygun olarak lisanlı operatörlerin hisse ve ortak fon gibi araçları</w:t>
      </w:r>
      <w:r w:rsidR="003C30F7">
        <w:rPr>
          <w:rFonts w:eastAsia="Times New Roman"/>
        </w:rPr>
        <w:t>nın</w:t>
      </w:r>
      <w:r>
        <w:rPr>
          <w:rFonts w:eastAsia="Times New Roman"/>
        </w:rPr>
        <w:t xml:space="preserve"> yasal yatırım aracı olarak kabul e</w:t>
      </w:r>
      <w:r w:rsidR="003C30F7">
        <w:rPr>
          <w:rFonts w:eastAsia="Times New Roman"/>
        </w:rPr>
        <w:t>d</w:t>
      </w:r>
      <w:r>
        <w:rPr>
          <w:rFonts w:eastAsia="Times New Roman"/>
        </w:rPr>
        <w:t>i</w:t>
      </w:r>
      <w:r w:rsidR="003C30F7">
        <w:rPr>
          <w:rFonts w:eastAsia="Times New Roman"/>
        </w:rPr>
        <w:t>ldi</w:t>
      </w:r>
      <w:r>
        <w:rPr>
          <w:rFonts w:eastAsia="Times New Roman"/>
        </w:rPr>
        <w:t xml:space="preserve">kleri, lisanslı yatırım aracı şirketlerinin kara para aklamayla mücadele dahil katı kurallara tabi oldukları, Hong Kong Hisse Senetleri ve Vadeli İşlemler Komisyonu’nun (SFC) sanal varlık ticaret platformlarına dair yayınladığı ayrıntılı bilgilere </w:t>
      </w:r>
      <w:hyperlink r:id="rId5" w:history="1">
        <w:r w:rsidR="00E94C27">
          <w:rPr>
            <w:rStyle w:val="Hyperlink"/>
            <w:rFonts w:eastAsia="Times New Roman"/>
          </w:rPr>
          <w:t>https://www.sfc.hk/en/Welcome-to-the-Fintech-Contact-Point/List-of-licensed-virtual-asset-trading-platforms</w:t>
        </w:r>
        <w:r w:rsidR="00E94C27" w:rsidRPr="004E13E1">
          <w:rPr>
            <w:rStyle w:val="Hyperlink"/>
            <w:rFonts w:eastAsia="Times New Roman"/>
            <w:u w:val="none"/>
          </w:rPr>
          <w:t> </w:t>
        </w:r>
      </w:hyperlink>
      <w:r>
        <w:rPr>
          <w:rFonts w:eastAsia="Times New Roman"/>
        </w:rPr>
        <w:t xml:space="preserve">adresinden </w:t>
      </w:r>
      <w:proofErr w:type="gramStart"/>
      <w:r>
        <w:rPr>
          <w:rFonts w:eastAsia="Times New Roman"/>
        </w:rPr>
        <w:t>ulaşılabileceği</w:t>
      </w:r>
      <w:proofErr w:type="gramEnd"/>
      <w:r>
        <w:rPr>
          <w:rFonts w:eastAsia="Times New Roman"/>
        </w:rPr>
        <w:t xml:space="preserve"> bildirilm</w:t>
      </w:r>
      <w:r w:rsidR="00651B69">
        <w:rPr>
          <w:rFonts w:eastAsia="Times New Roman"/>
        </w:rPr>
        <w:t>işti</w:t>
      </w:r>
      <w:r>
        <w:rPr>
          <w:rFonts w:eastAsia="Times New Roman"/>
        </w:rPr>
        <w:t xml:space="preserve">r. </w:t>
      </w:r>
    </w:p>
    <w:p w14:paraId="7B4A2586" w14:textId="77777777" w:rsidR="0022513F" w:rsidRDefault="0022513F" w:rsidP="0022513F">
      <w:pPr>
        <w:ind w:firstLine="708"/>
        <w:jc w:val="both"/>
        <w:rPr>
          <w:rFonts w:eastAsia="Times New Roman"/>
        </w:rPr>
      </w:pPr>
    </w:p>
    <w:p w14:paraId="668E7FA9" w14:textId="77777777" w:rsidR="0022513F" w:rsidRDefault="0022513F" w:rsidP="0022513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Yazıda</w:t>
      </w:r>
      <w:r w:rsidR="00651B69">
        <w:rPr>
          <w:rFonts w:eastAsia="Times New Roman"/>
        </w:rPr>
        <w:t xml:space="preserve"> ayrıca</w:t>
      </w:r>
      <w:r>
        <w:rPr>
          <w:rFonts w:eastAsia="Times New Roman"/>
        </w:rPr>
        <w:t>, sanal varlık işlemleri hakkında şüpheli faaliyetlerin müştekilerce doğrudan Hong Kong Polisi’ne bildirilmesi tavsiye edilm</w:t>
      </w:r>
      <w:r w:rsidR="00651B69">
        <w:rPr>
          <w:rFonts w:eastAsia="Times New Roman"/>
        </w:rPr>
        <w:t>işti</w:t>
      </w:r>
      <w:r>
        <w:rPr>
          <w:rFonts w:eastAsia="Times New Roman"/>
        </w:rPr>
        <w:t>r.</w:t>
      </w:r>
    </w:p>
    <w:p w14:paraId="03C46B83" w14:textId="77777777" w:rsidR="0022513F" w:rsidRDefault="0022513F" w:rsidP="0022513F">
      <w:pPr>
        <w:ind w:firstLine="708"/>
        <w:jc w:val="both"/>
        <w:rPr>
          <w:rFonts w:eastAsia="Times New Roman"/>
        </w:rPr>
      </w:pPr>
    </w:p>
    <w:p w14:paraId="215D3065" w14:textId="77777777" w:rsidR="0022513F" w:rsidRDefault="0022513F" w:rsidP="0022513F">
      <w:pPr>
        <w:ind w:firstLine="708"/>
        <w:jc w:val="both"/>
      </w:pPr>
      <w:r>
        <w:rPr>
          <w:color w:val="000000"/>
        </w:rPr>
        <w:t>Hong Kong Polisi'ne aşağıdaki link aracılığı ile müracaat edilebilmektedir.</w:t>
      </w:r>
    </w:p>
    <w:p w14:paraId="0F166830" w14:textId="77777777" w:rsidR="0022513F" w:rsidRDefault="0022513F" w:rsidP="0022513F"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69A7B694" w14:textId="77777777" w:rsidR="0022513F" w:rsidRDefault="0097480B" w:rsidP="0022513F">
      <w:hyperlink r:id="rId6" w:anchor="_blank" w:history="1">
        <w:r w:rsidR="0022513F">
          <w:rPr>
            <w:rStyle w:val="Hyperlink"/>
            <w:sz w:val="27"/>
            <w:szCs w:val="27"/>
          </w:rPr>
          <w:t>https://www.erc.police.gov.hk/cmiserc/CCC/PolicePublicPage?language=en</w:t>
        </w:r>
      </w:hyperlink>
    </w:p>
    <w:p w14:paraId="62142DFF" w14:textId="77777777" w:rsidR="0022513F" w:rsidRDefault="0022513F" w:rsidP="0022513F">
      <w:pPr>
        <w:ind w:firstLine="708"/>
        <w:jc w:val="both"/>
        <w:rPr>
          <w:rFonts w:eastAsia="Times New Roman"/>
        </w:rPr>
      </w:pPr>
    </w:p>
    <w:p w14:paraId="028489E3" w14:textId="1A384414" w:rsidR="006A656F" w:rsidRDefault="00C57A3F" w:rsidP="0022513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Öte yandan, Hong Kong Polisi’nin açıkladığı verilere göre Ocak-Eylül 2022 döneminde kayıtlara giren 49.927 suçun 19.444’ü (yaklaşık %40) “hile/dolandırıcılık” (</w:t>
      </w:r>
      <w:proofErr w:type="spellStart"/>
      <w:r>
        <w:rPr>
          <w:rFonts w:eastAsia="Times New Roman"/>
        </w:rPr>
        <w:t>deception</w:t>
      </w:r>
      <w:proofErr w:type="spellEnd"/>
      <w:r>
        <w:rPr>
          <w:rFonts w:eastAsia="Times New Roman"/>
        </w:rPr>
        <w:t xml:space="preserve">) kapsamındaki suçlardır. Ayrıca İstatistik Departmanı’nın yayınladığı verilere göre 2022 Ocak-Ağustos döneminde, yalnızca Hong Kong mukimlerinin maruz kaldığı 14.160 adet teyit edilmiş dolandırıcılık olayının (ağırlıklı olarak çevrimiçi aşk dolandırıcılığı (online </w:t>
      </w:r>
      <w:proofErr w:type="spellStart"/>
      <w:r>
        <w:rPr>
          <w:rFonts w:eastAsia="Times New Roman"/>
        </w:rPr>
        <w:t>love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scam</w:t>
      </w:r>
      <w:proofErr w:type="spellEnd"/>
      <w:r>
        <w:rPr>
          <w:rFonts w:eastAsia="Times New Roman"/>
        </w:rPr>
        <w:t xml:space="preserve">) </w:t>
      </w:r>
      <w:proofErr w:type="gramStart"/>
      <w:r>
        <w:rPr>
          <w:rFonts w:eastAsia="Times New Roman"/>
        </w:rPr>
        <w:t>ve  kripto</w:t>
      </w:r>
      <w:proofErr w:type="gramEnd"/>
      <w:r>
        <w:rPr>
          <w:rFonts w:eastAsia="Times New Roman"/>
        </w:rPr>
        <w:t xml:space="preserve"> varlık dolandırıcılığı) parasal karşılığı 2,6 milyar Hong Kong Doları’dır.</w:t>
      </w:r>
    </w:p>
    <w:p w14:paraId="7B987BA5" w14:textId="77777777" w:rsidR="0097480B" w:rsidRDefault="0097480B" w:rsidP="0022513F">
      <w:pPr>
        <w:ind w:firstLine="708"/>
        <w:jc w:val="both"/>
        <w:rPr>
          <w:rFonts w:eastAsia="Times New Roman"/>
        </w:rPr>
      </w:pPr>
      <w:bookmarkStart w:id="0" w:name="_GoBack"/>
      <w:bookmarkEnd w:id="0"/>
    </w:p>
    <w:p w14:paraId="3B356E7F" w14:textId="58F86D8D" w:rsidR="0022513F" w:rsidRDefault="00130B83" w:rsidP="00C57A3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Bu çerçevede, vatandaşlarımızın </w:t>
      </w:r>
      <w:r w:rsidR="00C57A3F">
        <w:rPr>
          <w:rFonts w:eastAsia="Times New Roman"/>
        </w:rPr>
        <w:t xml:space="preserve">çevrimiçi dolandırıcılık </w:t>
      </w:r>
      <w:r w:rsidR="0097480B">
        <w:rPr>
          <w:rFonts w:eastAsia="Times New Roman"/>
        </w:rPr>
        <w:t>olaylarına</w:t>
      </w:r>
      <w:r w:rsidR="00C57A3F">
        <w:rPr>
          <w:rFonts w:eastAsia="Times New Roman"/>
        </w:rPr>
        <w:t xml:space="preserve">, bu itibarla </w:t>
      </w:r>
      <w:r>
        <w:rPr>
          <w:rFonts w:eastAsia="Times New Roman"/>
        </w:rPr>
        <w:t>Hong Kong merkezli olduğu ileri sürülen sanal varlık ticareti yapan şirketler</w:t>
      </w:r>
      <w:r w:rsidR="0097480B">
        <w:rPr>
          <w:rFonts w:eastAsia="Times New Roman"/>
        </w:rPr>
        <w:t xml:space="preserve"> il</w:t>
      </w:r>
      <w:r>
        <w:rPr>
          <w:rFonts w:eastAsia="Times New Roman"/>
        </w:rPr>
        <w:t>e</w:t>
      </w:r>
      <w:r w:rsidR="0097480B">
        <w:rPr>
          <w:rFonts w:eastAsia="Times New Roman"/>
        </w:rPr>
        <w:t xml:space="preserve"> çevrimiçi irtibat yoluyla bu şirketlere yönlendiren kişilere/sosyal medya hesaplarına</w:t>
      </w:r>
      <w:r>
        <w:rPr>
          <w:rFonts w:eastAsia="Times New Roman"/>
        </w:rPr>
        <w:t xml:space="preserve"> karşı azami olarak dikkatli olmaları</w:t>
      </w:r>
      <w:r w:rsidR="00F60872">
        <w:rPr>
          <w:rFonts w:eastAsia="Times New Roman"/>
        </w:rPr>
        <w:t xml:space="preserve"> ve</w:t>
      </w:r>
      <w:r>
        <w:rPr>
          <w:rFonts w:eastAsia="Times New Roman"/>
        </w:rPr>
        <w:t xml:space="preserve"> Hong Kong yasaları uyarınca kripto para gibi sanal varlıkların yasal para birimi veya ödeme </w:t>
      </w:r>
      <w:r w:rsidR="00F60872">
        <w:rPr>
          <w:rFonts w:eastAsia="Times New Roman"/>
        </w:rPr>
        <w:t>yöntemi</w:t>
      </w:r>
      <w:r>
        <w:rPr>
          <w:rFonts w:eastAsia="Times New Roman"/>
        </w:rPr>
        <w:t xml:space="preserve"> olarak kabul e</w:t>
      </w:r>
      <w:r w:rsidR="00F60872">
        <w:rPr>
          <w:rFonts w:eastAsia="Times New Roman"/>
        </w:rPr>
        <w:t xml:space="preserve">dilmediğini dikkate almaları </w:t>
      </w:r>
      <w:r w:rsidR="00C57A3F">
        <w:rPr>
          <w:rFonts w:eastAsia="Times New Roman"/>
        </w:rPr>
        <w:t xml:space="preserve">bir kere daha </w:t>
      </w:r>
      <w:r w:rsidR="00F60872">
        <w:rPr>
          <w:rFonts w:eastAsia="Times New Roman"/>
        </w:rPr>
        <w:t>önemle rica olunur.</w:t>
      </w:r>
    </w:p>
    <w:p w14:paraId="0BDCD655" w14:textId="77777777" w:rsidR="00944F3A" w:rsidRDefault="00944F3A" w:rsidP="00E87099">
      <w:pPr>
        <w:ind w:firstLine="708"/>
        <w:jc w:val="both"/>
        <w:rPr>
          <w:rFonts w:eastAsia="Times New Roman"/>
        </w:rPr>
      </w:pPr>
    </w:p>
    <w:p w14:paraId="32172657" w14:textId="77777777" w:rsidR="00311B4F" w:rsidRDefault="00311B4F" w:rsidP="00B537BB">
      <w:pPr>
        <w:ind w:firstLine="708"/>
        <w:jc w:val="both"/>
      </w:pPr>
      <w:r>
        <w:t>T.C. HONG KONG BAŞKONSOLOSLUĞU</w:t>
      </w:r>
    </w:p>
    <w:sectPr w:rsidR="0031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4F"/>
    <w:rsid w:val="00036002"/>
    <w:rsid w:val="0009026B"/>
    <w:rsid w:val="000D4982"/>
    <w:rsid w:val="00130B83"/>
    <w:rsid w:val="00183C3D"/>
    <w:rsid w:val="001871B1"/>
    <w:rsid w:val="00205F21"/>
    <w:rsid w:val="0022513F"/>
    <w:rsid w:val="00311B4F"/>
    <w:rsid w:val="003C11D1"/>
    <w:rsid w:val="003C30F7"/>
    <w:rsid w:val="00400A38"/>
    <w:rsid w:val="004E13E1"/>
    <w:rsid w:val="00651B69"/>
    <w:rsid w:val="006A656F"/>
    <w:rsid w:val="006D2F5C"/>
    <w:rsid w:val="00706438"/>
    <w:rsid w:val="007723A7"/>
    <w:rsid w:val="007A04BD"/>
    <w:rsid w:val="00854151"/>
    <w:rsid w:val="008E2808"/>
    <w:rsid w:val="00944F3A"/>
    <w:rsid w:val="0097480B"/>
    <w:rsid w:val="00A36ED4"/>
    <w:rsid w:val="00A72B70"/>
    <w:rsid w:val="00B537BB"/>
    <w:rsid w:val="00B655AE"/>
    <w:rsid w:val="00BC1B40"/>
    <w:rsid w:val="00C47AFF"/>
    <w:rsid w:val="00C548F3"/>
    <w:rsid w:val="00C57A3F"/>
    <w:rsid w:val="00D557FA"/>
    <w:rsid w:val="00DF3C01"/>
    <w:rsid w:val="00E270AE"/>
    <w:rsid w:val="00E87099"/>
    <w:rsid w:val="00E94C27"/>
    <w:rsid w:val="00ED09B7"/>
    <w:rsid w:val="00F60872"/>
    <w:rsid w:val="00F764C1"/>
    <w:rsid w:val="00FB0AE6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BF83"/>
  <w15:chartTrackingRefBased/>
  <w15:docId w15:val="{C3A73F0B-3629-4690-BCBF-931BC46C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B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B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F3"/>
    <w:rPr>
      <w:rFonts w:ascii="Segoe UI" w:hAnsi="Segoe UI" w:cs="Segoe UI"/>
      <w:sz w:val="18"/>
      <w:szCs w:val="18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E270AE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77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.police.gov.hk/cmiserc/CCC/PolicePublicPage?language=en" TargetMode="External"/><Relationship Id="rId5" Type="http://schemas.openxmlformats.org/officeDocument/2006/relationships/hyperlink" Target="https://www.sfc.hk/en/Welcome-to-the-Fintech-Contact-Point/List-of-licensed-virtual-asset-trading-platform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Erdem</dc:creator>
  <cp:keywords/>
  <dc:description/>
  <cp:lastModifiedBy>Murat Erdem</cp:lastModifiedBy>
  <cp:revision>11</cp:revision>
  <cp:lastPrinted>2022-11-22T09:07:00Z</cp:lastPrinted>
  <dcterms:created xsi:type="dcterms:W3CDTF">2022-11-22T06:42:00Z</dcterms:created>
  <dcterms:modified xsi:type="dcterms:W3CDTF">2022-11-22T09:31:00Z</dcterms:modified>
</cp:coreProperties>
</file>